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Pr>
          <w:rFonts w:ascii="Times New Roman" w:hAnsi="Times New Roman" w:cs="Times New Roman"/>
          <w:noProof/>
          <w:lang w:val="sq-AL"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Modeli i Kurrikulës së Lëndës (Silabusi)</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Fakulteti:</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b/>
                <w:color w:val="000000"/>
                <w:sz w:val="22"/>
                <w:szCs w:val="22"/>
                <w:lang w:val="sq-AL"/>
              </w:rPr>
              <w:t xml:space="preserve">FAKULTETI I INXHINIERISË MEKANIKE DHE KOMPJUTERIKE</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Departamenti:</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Shkenca Kompjuterike dhe Inxhinieri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Programi i studimit</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Bachelor në Shkenca Kompjuterike dhe Inxhinieri</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Niveli:</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sq-AL"/>
              </w:rPr>
            </w:pPr>
            <w:bookmarkStart w:id="0" w:name="_heading=h.frymz65922a2" w:colFirst="0" w:colLast="0"/>
            <w:bookmarkEnd w:id="0"/>
            <w:r>
              <w:rPr>
                <w:rFonts w:ascii="Times New Roman" w:eastAsia="Times New Roman" w:hAnsi="Times New Roman" w:cs="Times New Roman"/>
                <w:sz w:val="24"/>
                <w:lang w:val="sq-AL"/>
              </w:rPr>
              <w:t xml:space="preserve">Kodi i lëndës:</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sq-AL"/>
              </w:rPr>
            </w:pPr>
            <w:bookmarkStart w:id="1" w:name="_heading=h.8fqsgo9jdl39" w:colFirst="0" w:colLast="0"/>
            <w:bookmarkEnd w:id="1"/>
            <w:r>
              <w:rPr>
                <w:rFonts w:ascii="Times New Roman" w:eastAsia="Times New Roman" w:hAnsi="Times New Roman" w:cs="Times New Roman"/>
                <w:sz w:val="24"/>
                <w:lang w:val="sq-AL"/>
              </w:rPr>
              <w:t xml:space="preserve">Lënda:</w:t>
            </w:r>
          </w:p>
        </w:tc>
        <w:tc>
          <w:tcPr>
            <w:tcW w:w="7008" w:type="dxa"/>
            <w:gridSpan w:val="2"/>
          </w:tcPr>
          <w:p w14:paraId="724F79C3" w14:textId="52AFEF49" w:rsidR="00D67D7F" w:rsidRPr="00BB2207" w:rsidRDefault="00C4365F">
            <w:pPr>
              <w:pStyle w:val="Heading1"/>
              <w:spacing w:before="0" w:after="0"/>
              <w:ind w:left="0" w:hanging="2"/>
              <w:rPr>
                <w:rFonts w:ascii="Times New Roman" w:hAnsi="Times New Roman" w:cs="Times New Roman"/>
                <w:sz w:val="24"/>
                <w:szCs w:val="24"/>
                <w:lang w:val="sq-AL"/>
              </w:rPr>
            </w:pPr>
            <w:r>
              <w:rPr>
                <w:rFonts w:ascii="Times New Roman" w:hAnsi="Times New Roman" w:cs="Times New Roman"/>
                <w:sz w:val="24"/>
                <w:szCs w:val="24"/>
                <w:lang w:val="sq-AL"/>
              </w:rPr>
              <w:t xml:space="preserve">Ndërveprimi Njeri-Kompjuter</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Statusi i lëndës: </w:t>
            </w:r>
          </w:p>
        </w:tc>
        <w:tc>
          <w:tcPr>
            <w:tcW w:w="3498" w:type="dxa"/>
            <w:tcBorders>
              <w:right w:val="single" w:sz="4" w:space="0" w:color="000000"/>
            </w:tcBorders>
          </w:tcPr>
          <w:p w14:paraId="27A0CB5F" w14:textId="37A8DA1F" w:rsidR="00D67D7F" w:rsidRPr="00BB2207" w:rsidRDefault="0022423F">
            <w:pPr>
              <w:ind w:left="0" w:hanging="2"/>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Zgjedhore</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Obligative/</w:t>
            </w:r>
            <w:r>
              <w:rPr>
                <w:rFonts w:ascii="Times New Roman" w:eastAsia="Times New Roman" w:hAnsi="Times New Roman" w:cs="Times New Roman"/>
                <w:sz w:val="24"/>
                <w:lang w:val="sq-AL"/>
              </w:rPr>
              <w:t xml:space="preserve">Zgjedhore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Semestri:</w:t>
            </w:r>
          </w:p>
        </w:tc>
        <w:tc>
          <w:tcPr>
            <w:tcW w:w="3498" w:type="dxa"/>
            <w:tcBorders>
              <w:right w:val="single" w:sz="4" w:space="0" w:color="000000"/>
            </w:tcBorders>
          </w:tcPr>
          <w:p w14:paraId="7A68551A" w14:textId="1A033319"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III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sq-AL"/>
              </w:rPr>
            </w:pPr>
            <w:r>
              <w:rPr>
                <w:rFonts w:ascii="Times New Roman" w:eastAsia="Times New Roman" w:hAnsi="Times New Roman" w:cs="Times New Roman"/>
                <w:b/>
                <w:sz w:val="24"/>
                <w:lang w:val="sq-AL"/>
              </w:rPr>
              <w:t xml:space="preserve">Dimëror</w:t>
            </w:r>
            <w:r>
              <w:rPr>
                <w:rFonts w:ascii="Times New Roman" w:eastAsia="Times New Roman" w:hAnsi="Times New Roman" w:cs="Times New Roman"/>
                <w:sz w:val="24"/>
                <w:lang w:val="sq-AL"/>
              </w:rPr>
              <w:t xml:space="preserve">/Veror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Numri i orëve në javë:</w:t>
            </w:r>
          </w:p>
        </w:tc>
        <w:tc>
          <w:tcPr>
            <w:tcW w:w="3498" w:type="dxa"/>
            <w:tcBorders>
              <w:right w:val="single" w:sz="4" w:space="0" w:color="000000"/>
            </w:tcBorders>
          </w:tcPr>
          <w:p w14:paraId="08B21672" w14:textId="4B92FC20" w:rsidR="00D67D7F" w:rsidRPr="00250EF5" w:rsidRDefault="0022423F">
            <w:pPr>
              <w:pBdr>
                <w:top w:val="nil"/>
                <w:left w:val="nil"/>
                <w:bottom w:val="nil"/>
                <w:right w:val="nil"/>
                <w:between w:val="nil"/>
              </w:pBdr>
              <w:spacing w:line="240" w:lineRule="auto"/>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sq-AL"/>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ECTS: </w:t>
            </w:r>
          </w:p>
        </w:tc>
        <w:tc>
          <w:tcPr>
            <w:tcW w:w="3498" w:type="dxa"/>
            <w:tcBorders>
              <w:right w:val="single" w:sz="4" w:space="0" w:color="000000"/>
            </w:tcBorders>
          </w:tcPr>
          <w:p w14:paraId="61110E38" w14:textId="7050B32E" w:rsidR="00D67D7F" w:rsidRPr="00250EF5" w:rsidRDefault="0022423F">
            <w:pPr>
              <w:pBdr>
                <w:top w:val="nil"/>
                <w:left w:val="nil"/>
                <w:bottom w:val="nil"/>
                <w:right w:val="nil"/>
                <w:between w:val="nil"/>
              </w:pBdr>
              <w:spacing w:line="240" w:lineRule="auto"/>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4</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sq-AL"/>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Koha / vendi:</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Viti akademik / Semestri</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Gjuha e mësimit: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Shqip (me fleksibilitet në anglisht)</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Ligjëruesi: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Prof. Ass. Dr. 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Asistenti:</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Detajet e kontaktit:</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Profesori</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ab/>
              <w:tab/>
              <w:t xml:space="preserve">Asistenti</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hyperlink r:id="rId7" w:history="1">
              <w:r>
                <w:rPr>
                  <w:rStyle w:val="Hyperlink"/>
                  <w:rFonts w:ascii="Times New Roman" w:eastAsia="Times New Roman" w:hAnsi="Times New Roman" w:cs="Times New Roman"/>
                  <w:sz w:val="24"/>
                  <w:lang w:val="sq-AL"/>
                </w:rPr>
                <w:t xml:space="preserve">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Telefoni:</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Përshkrimi i lëndës</w:t>
            </w:r>
          </w:p>
        </w:tc>
        <w:tc>
          <w:tcPr>
            <w:tcW w:w="9270" w:type="dxa"/>
            <w:gridSpan w:val="3"/>
          </w:tcPr>
          <w:p w14:paraId="6FAF41D7" w14:textId="5E2F6A1B" w:rsidR="00D67D7F" w:rsidRPr="00BB2207" w:rsidRDefault="003E4368" w:rsidP="00250EF5">
            <w:pP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sz w:val="24"/>
                <w:lang w:val="sq-AL"/>
              </w:rPr>
              <w:t xml:space="preserve">Kjo lëndë prezanton parimet, teoritë dhe praktikat e Ndërveprimit Njeri–Kompjuter. Studentët mësojnë se si njerëzit ndërveprojnë me teknologjinë, si të dizajnojnë ndërfaqe të përdoruesit dhe si ta vlerësojnë përdorshmërinë. Temat përfshijnë dizajnin e ndërveprimit, modelet kognitive, stilet e ndërfaqeve, dizajnin e përqendruar te përdoruesi, prototipizimin, qasshmërinë dhe teknologjitë në zhvillim. Përmes ligjëratave, rasteve studimore dhe projekteve praktike të dizajnit, studentët fitojnë njohuritë dhe shkathtësitë për të dizajnuar, implementuar dhe vlerësuar sisteme interaktive që janë efektive, efikase dhe të lehta për t'u përdorur.</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Qëllimi i lëndës</w:t>
            </w:r>
          </w:p>
        </w:tc>
        <w:tc>
          <w:tcPr>
            <w:tcW w:w="9270" w:type="dxa"/>
            <w:gridSpan w:val="3"/>
          </w:tcPr>
          <w:p w14:paraId="1FAA2826" w14:textId="0A22D017" w:rsidR="00D67D7F" w:rsidRPr="00BB2207" w:rsidRDefault="003E4368"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sq-AL"/>
              </w:rPr>
            </w:pPr>
            <w:r>
              <w:rPr>
                <w:rFonts w:ascii="Times New Roman" w:eastAsia="Times New Roman" w:hAnsi="Times New Roman" w:cs="Times New Roman"/>
                <w:sz w:val="24"/>
                <w:lang w:val="sq-AL"/>
              </w:rPr>
              <w:t xml:space="preserve">Qëllimi i kësaj lënde është t'u ofrojë studentëve kuptimin e bazave të Ndërveprimit Njeri–Kompjuter, duke u mundësuar atyre të dizajnojnë dhe të vlerësojnë sisteme interaktive. Studentët zhvillojnë si njohuri teorike, ashtu edhe shkathtësi praktike në dizajnin e ndërfaqeve të përdoruesit, testimin e përdorshmërisë dhe qasshmërinë.</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sq-AL"/>
              </w:rPr>
            </w:pPr>
            <w:r>
              <w:rPr>
                <w:rFonts w:ascii="Times New Roman" w:eastAsia="Times New Roman" w:hAnsi="Times New Roman" w:cs="Times New Roman"/>
                <w:sz w:val="24"/>
                <w:lang w:val="sq-AL"/>
              </w:rPr>
              <w:t xml:space="preserve">Objektivat e lëndës</w:t>
            </w:r>
          </w:p>
        </w:tc>
        <w:tc>
          <w:tcPr>
            <w:tcW w:w="9270" w:type="dxa"/>
            <w:gridSpan w:val="3"/>
          </w:tcPr>
          <w:p w14:paraId="1989E9E2" w14:textId="17843517" w:rsidR="003E4368" w:rsidRPr="003E4368" w:rsidRDefault="003E4368" w:rsidP="003E4368">
            <w:pPr>
              <w:pStyle w:val="ListParagraph"/>
              <w:numPr>
                <w:ilvl w:val="0"/>
                <w:numId w:val="11"/>
              </w:numPr>
              <w:ind w:leftChars="0" w:firstLineChars="0"/>
              <w:rPr>
                <w:rFonts w:ascii="Times New Roman" w:hAnsi="Times New Roman" w:cs="Times New Roman"/>
                <w:sz w:val="24"/>
              </w:rPr>
            </w:pPr>
            <w:r>
              <w:rPr>
                <w:rFonts w:ascii="Times New Roman" w:hAnsi="Times New Roman" w:cs="Times New Roman"/>
                <w:sz w:val="24"/>
              </w:rPr>
              <w:t xml:space="preserve">Të shpjegojnë konceptet, parimet dhe teoritë themelore të NNK-së.</w:t>
            </w:r>
          </w:p>
          <w:p w14:paraId="1A50B865" w14:textId="382FAF52" w:rsidR="003E4368" w:rsidRPr="003E4368" w:rsidRDefault="003E4368" w:rsidP="003E4368">
            <w:pPr>
              <w:pStyle w:val="ListParagraph"/>
              <w:numPr>
                <w:ilvl w:val="0"/>
                <w:numId w:val="11"/>
              </w:numPr>
              <w:ind w:leftChars="0" w:firstLineChars="0"/>
              <w:rPr>
                <w:rFonts w:ascii="Times New Roman" w:hAnsi="Times New Roman" w:cs="Times New Roman"/>
                <w:sz w:val="24"/>
              </w:rPr>
            </w:pPr>
            <w:r>
              <w:rPr>
                <w:rFonts w:ascii="Times New Roman" w:hAnsi="Times New Roman" w:cs="Times New Roman"/>
                <w:sz w:val="24"/>
              </w:rPr>
              <w:t xml:space="preserve">Të zbatojnë modelet kognitive dhe të dizajnit në zhvillimin e ndërfaqeve.</w:t>
            </w:r>
          </w:p>
          <w:p w14:paraId="23C42467" w14:textId="540FC50E" w:rsidR="003E4368" w:rsidRPr="003E4368" w:rsidRDefault="003E4368" w:rsidP="003E4368">
            <w:pPr>
              <w:pStyle w:val="ListParagraph"/>
              <w:numPr>
                <w:ilvl w:val="0"/>
                <w:numId w:val="11"/>
              </w:numPr>
              <w:ind w:leftChars="0" w:firstLineChars="0"/>
              <w:rPr>
                <w:rFonts w:ascii="Times New Roman" w:hAnsi="Times New Roman" w:cs="Times New Roman"/>
                <w:sz w:val="24"/>
              </w:rPr>
            </w:pPr>
            <w:r>
              <w:rPr>
                <w:rFonts w:ascii="Times New Roman" w:hAnsi="Times New Roman" w:cs="Times New Roman"/>
                <w:sz w:val="24"/>
              </w:rPr>
              <w:t xml:space="preserve">Të dizajnojnë ndërfaqe të përdorshme, të përqendruara te përdoruesi, duke i kushtuar vëmendje qasshmërisë.</w:t>
            </w:r>
          </w:p>
          <w:p w14:paraId="61555D5F" w14:textId="4D4B7EA9" w:rsidR="003E4368" w:rsidRPr="003E4368" w:rsidRDefault="003E4368" w:rsidP="003E4368">
            <w:pPr>
              <w:pStyle w:val="ListParagraph"/>
              <w:numPr>
                <w:ilvl w:val="0"/>
                <w:numId w:val="11"/>
              </w:numPr>
              <w:ind w:leftChars="0" w:firstLineChars="0"/>
              <w:rPr>
                <w:rFonts w:ascii="Times New Roman" w:hAnsi="Times New Roman" w:cs="Times New Roman"/>
                <w:sz w:val="24"/>
              </w:rPr>
            </w:pPr>
            <w:r>
              <w:rPr>
                <w:rFonts w:ascii="Times New Roman" w:hAnsi="Times New Roman" w:cs="Times New Roman"/>
                <w:sz w:val="24"/>
              </w:rPr>
              <w:t xml:space="preserve">Të kryejnë vlerësime të përdorshmërisë dhe t'i zbatojnë rezultatet për të përmirësuar dizajnet.</w:t>
            </w:r>
          </w:p>
          <w:p w14:paraId="076A8AED" w14:textId="22EBE2BA" w:rsidR="00D67D7F" w:rsidRPr="00DC1003" w:rsidRDefault="003E4368" w:rsidP="003E4368">
            <w:pPr>
              <w:pStyle w:val="ListParagraph"/>
              <w:numPr>
                <w:ilvl w:val="0"/>
                <w:numId w:val="11"/>
              </w:numPr>
              <w:ind w:leftChars="0" w:firstLineChars="0"/>
            </w:pPr>
            <w:r>
              <w:rPr>
                <w:rFonts w:ascii="Times New Roman" w:hAnsi="Times New Roman" w:cs="Times New Roman"/>
                <w:sz w:val="24"/>
              </w:rPr>
              <w:t xml:space="preserve">Të kuptojnë ndikimin e NNK-së në teknologjitë në zhvillim.</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sq-AL"/>
              </w:rPr>
            </w:pPr>
            <w:r>
              <w:rPr>
                <w:rFonts w:ascii="Times New Roman" w:eastAsia="Times New Roman" w:hAnsi="Times New Roman" w:cs="Times New Roman"/>
                <w:b/>
                <w:sz w:val="24"/>
                <w:lang w:val="sq-AL"/>
              </w:rPr>
              <w:lastRenderedPageBreak/>
              <w:t xml:space="preserve">Rezultatet e të nxënit</w:t>
            </w:r>
          </w:p>
          <w:p w14:paraId="54533C20" w14:textId="77777777" w:rsidR="00D67D7F" w:rsidRPr="00BB2207" w:rsidRDefault="00D67D7F">
            <w:pPr>
              <w:ind w:left="0" w:right="113" w:hanging="2"/>
              <w:jc w:val="center"/>
              <w:rPr>
                <w:rFonts w:ascii="Times New Roman" w:eastAsia="Times New Roman" w:hAnsi="Times New Roman" w:cs="Times New Roman"/>
                <w:sz w:val="24"/>
                <w:lang w:val="sq-AL"/>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sq-AL" w:eastAsia="en-US"/>
              </w:rPr>
            </w:pPr>
            <w:bookmarkStart w:id="2" w:name="_heading=h.bh1my4fl5zma" w:colFirst="0" w:colLast="0"/>
            <w:bookmarkEnd w:id="2"/>
            <w:r>
              <w:rPr>
                <w:rFonts w:ascii="Times New Roman" w:eastAsia="Times New Roman" w:hAnsi="Times New Roman" w:cs="Times New Roman"/>
                <w:b/>
                <w:bCs/>
                <w:position w:val="0"/>
                <w:sz w:val="24"/>
                <w:lang w:val="sq-AL" w:eastAsia="en-US"/>
              </w:rPr>
              <w:t xml:space="preserve">Njohuritë</w:t>
            </w:r>
          </w:p>
          <w:p w14:paraId="2A48A9B9" w14:textId="5CEE0AFD"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N1: Të përshkruajnë parimet e NNK-së, stilet e ndërveprimit dhe metodologjitë e dizajnit.</w:t>
            </w:r>
          </w:p>
          <w:p w14:paraId="6DAEF32F" w14:textId="6771A9D3"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N2: Të kuptojnë modelet e kognicionit njerëzor që lidhen me dizajnin e ndërfaqeve.</w:t>
            </w:r>
          </w:p>
          <w:p w14:paraId="3445EDBC" w14:textId="2E979765" w:rsidR="007E5A68" w:rsidRPr="007E5A68" w:rsidRDefault="00040C9A" w:rsidP="00040C9A">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sq-AL" w:eastAsia="en-US"/>
              </w:rPr>
            </w:pPr>
            <w:r>
              <w:rPr>
                <w:rFonts w:ascii="Times New Roman" w:hAnsi="Times New Roman" w:cs="Times New Roman"/>
                <w:sz w:val="24"/>
              </w:rPr>
              <w:t xml:space="preserve">N3: Të identifikojnë kërkesat për përdorshmëri dhe qasshmëri në sistemet interaktive.</w:t>
            </w:r>
          </w:p>
          <w:p w14:paraId="1564B770" w14:textId="797FBB6B" w:rsidR="00DC1003" w:rsidRPr="00DC1003" w:rsidRDefault="00DC1003" w:rsidP="007E5A6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sq-AL" w:eastAsia="en-US"/>
              </w:rPr>
            </w:pPr>
            <w:r>
              <w:rPr>
                <w:rFonts w:ascii="Times New Roman" w:eastAsia="Times New Roman" w:hAnsi="Times New Roman" w:cs="Times New Roman"/>
                <w:b/>
                <w:bCs/>
                <w:position w:val="0"/>
                <w:sz w:val="24"/>
                <w:lang w:val="sq-AL" w:eastAsia="en-US"/>
              </w:rPr>
              <w:t xml:space="preserve">Shkathtësitë</w:t>
            </w:r>
          </w:p>
          <w:p w14:paraId="7B33C08D" w14:textId="20314984"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SH1: Të dizajnojnë dhe të krijojnë prototipe të ndërfaqeve të përdoruesit.</w:t>
            </w:r>
          </w:p>
          <w:p w14:paraId="36411623" w14:textId="7DE76EB5"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SH2: Të zbatojnë metodat e vlerësimit të përdorshmërisë (heuristikat, testimi, anketat).</w:t>
            </w:r>
          </w:p>
          <w:p w14:paraId="2C818153" w14:textId="7013E148" w:rsidR="00040C9A" w:rsidRPr="00040C9A" w:rsidRDefault="00040C9A" w:rsidP="00040C9A">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sq-AL" w:eastAsia="en-US"/>
              </w:rPr>
            </w:pPr>
            <w:r>
              <w:rPr>
                <w:rFonts w:ascii="Times New Roman" w:hAnsi="Times New Roman" w:cs="Times New Roman"/>
                <w:sz w:val="24"/>
              </w:rPr>
              <w:t xml:space="preserve">SH3: Të përdorin vegla të dizajnit të NNK-së për prototipizim dhe vlerësim.</w:t>
            </w:r>
            <w:r>
              <w:rPr>
                <w:rFonts w:ascii="Times New Roman" w:eastAsia="Times New Roman" w:hAnsi="Times New Roman" w:cs="Times New Roman"/>
                <w:b/>
                <w:bCs/>
                <w:position w:val="0"/>
                <w:sz w:val="24"/>
                <w:lang w:val="sq-AL" w:eastAsia="en-US"/>
              </w:rPr>
              <w:t xml:space="preserve"> </w:t>
            </w:r>
          </w:p>
          <w:p w14:paraId="07B4B6E8" w14:textId="654894CE" w:rsidR="00DC1003" w:rsidRPr="00DC1003" w:rsidRDefault="00DC1003" w:rsidP="00040C9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sq-AL" w:eastAsia="en-US"/>
              </w:rPr>
            </w:pPr>
            <w:r>
              <w:rPr>
                <w:rFonts w:ascii="Times New Roman" w:eastAsia="Times New Roman" w:hAnsi="Times New Roman" w:cs="Times New Roman"/>
                <w:b/>
                <w:bCs/>
                <w:position w:val="0"/>
                <w:sz w:val="24"/>
                <w:lang w:val="sq-AL" w:eastAsia="en-US"/>
              </w:rPr>
              <w:t xml:space="preserve">Kompetencat</w:t>
            </w:r>
          </w:p>
          <w:p w14:paraId="65D3D400" w14:textId="5B11F96E"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Të zbatojnë procese të dizajnit të përqendruar te përdoruesi në projekte reale.</w:t>
            </w:r>
          </w:p>
          <w:p w14:paraId="5B75C0AC" w14:textId="3B995F56"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Të bashkëpunojnë në ekip për të dizajnuar, testuar dhe përmirësuar sisteme interaktive.</w:t>
            </w:r>
          </w:p>
          <w:p w14:paraId="04941E15" w14:textId="79075D1D" w:rsidR="00D67D7F" w:rsidRPr="00250EF5"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K3: Të vlerësojnë në mënyrë kritike sistemet ekzistuese për përdorshmëri dhe qasshmëri.</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sq-AL"/>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Javët</w:t>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Ligjërata</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Programi</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parë</w:t>
            </w:r>
          </w:p>
        </w:tc>
        <w:tc>
          <w:tcPr>
            <w:tcW w:w="7796" w:type="dxa"/>
          </w:tcPr>
          <w:p w14:paraId="69DE6034" w14:textId="35BCDC06" w:rsidR="00D67D7F" w:rsidRPr="00A37C64"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Hyrje në NNK dhe paradigmat e ndërveprimit</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sq-AL"/>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dytë</w:t>
            </w:r>
          </w:p>
        </w:tc>
        <w:tc>
          <w:tcPr>
            <w:tcW w:w="7796" w:type="dxa"/>
          </w:tcPr>
          <w:p w14:paraId="3576B77F" w14:textId="2EF9808B" w:rsidR="00D67D7F" w:rsidRPr="009D0797" w:rsidRDefault="009D0797" w:rsidP="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Aftësitë njerëzore, kognicioni dhe komunikimi</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tretë</w:t>
            </w:r>
          </w:p>
        </w:tc>
        <w:tc>
          <w:tcPr>
            <w:tcW w:w="7796" w:type="dxa"/>
          </w:tcPr>
          <w:p w14:paraId="761F247F" w14:textId="4A576F8B" w:rsidR="00D67D7F" w:rsidRPr="009D0797"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Kornizat dhe stilet e ndërveprimit</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katërt</w:t>
            </w:r>
          </w:p>
        </w:tc>
        <w:tc>
          <w:tcPr>
            <w:tcW w:w="7796" w:type="dxa"/>
          </w:tcPr>
          <w:p w14:paraId="439E2836" w14:textId="6E6E50F7" w:rsidR="00D67D7F" w:rsidRPr="009D0797"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Parimet dhe udhëzimet e dizajnit në NNK</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pestë</w:t>
            </w:r>
            <w:r>
              <w:rPr>
                <w:rFonts w:ascii="Times New Roman" w:eastAsia="Times New Roman" w:hAnsi="Times New Roman" w:cs="Times New Roman"/>
                <w:b/>
                <w:lang w:val="sq-AL"/>
              </w:rPr>
              <w:t xml:space="preserve"> </w:t>
            </w:r>
          </w:p>
        </w:tc>
        <w:tc>
          <w:tcPr>
            <w:tcW w:w="7796" w:type="dxa"/>
          </w:tcPr>
          <w:p w14:paraId="4684ADDA" w14:textId="2C69B7B7" w:rsidR="00D67D7F" w:rsidRPr="00A37C64"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Përdorshmëria dhe dizajni i përqendruar te përdoruesi</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sq-AL"/>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gjashtë</w:t>
            </w:r>
          </w:p>
        </w:tc>
        <w:tc>
          <w:tcPr>
            <w:tcW w:w="7796" w:type="dxa"/>
          </w:tcPr>
          <w:p w14:paraId="6009F5A5" w14:textId="3A18A498" w:rsidR="00D67D7F" w:rsidRPr="009D0797" w:rsidRDefault="009D0797" w:rsidP="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Modelet e ndërveprimit dhe modelet kognitive</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shtatë</w:t>
            </w:r>
            <w:r>
              <w:rPr>
                <w:rFonts w:ascii="Times New Roman" w:eastAsia="Times New Roman" w:hAnsi="Times New Roman" w:cs="Times New Roman"/>
                <w:b/>
                <w:lang w:val="sq-AL"/>
              </w:rPr>
              <w:t xml:space="preserve"> </w:t>
            </w:r>
          </w:p>
        </w:tc>
        <w:tc>
          <w:tcPr>
            <w:tcW w:w="7796" w:type="dxa"/>
          </w:tcPr>
          <w:p w14:paraId="6F52825D" w14:textId="4A68AD19" w:rsidR="00D67D7F" w:rsidRPr="00A37C64"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Dizajni i ndërfaqeve: Windows, Ueb, Mobile</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sq-AL"/>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tetë</w:t>
            </w:r>
          </w:p>
        </w:tc>
        <w:tc>
          <w:tcPr>
            <w:tcW w:w="7796" w:type="dxa"/>
          </w:tcPr>
          <w:p w14:paraId="65DCE9DD" w14:textId="44A3D37D" w:rsidR="00D67D7F" w:rsidRPr="009D0797" w:rsidRDefault="008550EE">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Provimi i ndërmjetëm (kollokviumi) + rishikim</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nëntë</w:t>
            </w:r>
          </w:p>
        </w:tc>
        <w:tc>
          <w:tcPr>
            <w:tcW w:w="7796" w:type="dxa"/>
          </w:tcPr>
          <w:p w14:paraId="5E95ACDD" w14:textId="72C75CE4" w:rsidR="00D67D7F" w:rsidRPr="009D0797"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Prototipizimi dhe dizajni me besueshmëri të ulët/të lartë</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dhjetë</w:t>
            </w:r>
          </w:p>
        </w:tc>
        <w:tc>
          <w:tcPr>
            <w:tcW w:w="7796" w:type="dxa"/>
          </w:tcPr>
          <w:p w14:paraId="1ACB955A" w14:textId="241071E0" w:rsidR="00D67D7F" w:rsidRPr="00A37C64" w:rsidRDefault="009D0797" w:rsidP="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Metodat e vlerësimit të përdorshmërisë</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njëmbëdhjetë</w:t>
            </w:r>
          </w:p>
        </w:tc>
        <w:tc>
          <w:tcPr>
            <w:tcW w:w="7796" w:type="dxa"/>
          </w:tcPr>
          <w:p w14:paraId="57938DE2" w14:textId="19D28C52" w:rsidR="00D67D7F" w:rsidRPr="009D0797"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Qasshmëria dhe dizajni gjithëpërfshirës</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dymbëdhjetë </w:t>
            </w:r>
          </w:p>
        </w:tc>
        <w:tc>
          <w:tcPr>
            <w:tcW w:w="7796" w:type="dxa"/>
          </w:tcPr>
          <w:p w14:paraId="1D8C5582" w14:textId="5E7C4F0B" w:rsidR="00D67D7F" w:rsidRPr="009D0797" w:rsidRDefault="009D0797" w:rsidP="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Puna bashkëpunuese e mbështetur nga kompjuteri</w:t>
            </w:r>
          </w:p>
        </w:tc>
      </w:tr>
      <w:tr w:rsidR="00A55D7D" w:rsidRPr="00BB2207" w14:paraId="7570C6BF" w14:textId="77777777" w:rsidTr="006F3498">
        <w:trPr>
          <w:cantSplit/>
        </w:trPr>
        <w:tc>
          <w:tcPr>
            <w:tcW w:w="506" w:type="dxa"/>
            <w:vMerge/>
            <w:tcBorders>
              <w:right w:val="single" w:sz="4" w:space="0" w:color="000000"/>
            </w:tcBorders>
            <w:vAlign w:val="center"/>
          </w:tcPr>
          <w:p w14:paraId="77FDA2A4" w14:textId="77777777" w:rsidR="00A55D7D" w:rsidRPr="00BB2207" w:rsidRDefault="00A55D7D" w:rsidP="00A55D7D">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58557605" w14:textId="77777777" w:rsidR="00A55D7D" w:rsidRPr="00BB2207" w:rsidRDefault="00A55D7D" w:rsidP="00A55D7D">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trembëdhjetë</w:t>
            </w:r>
          </w:p>
        </w:tc>
        <w:tc>
          <w:tcPr>
            <w:tcW w:w="7796" w:type="dxa"/>
          </w:tcPr>
          <w:p w14:paraId="619D952D" w14:textId="0EB1107A" w:rsidR="00A55D7D" w:rsidRPr="009D0797" w:rsidRDefault="009D0797" w:rsidP="00A55D7D">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Trendet në zhvillim: kompjuterika e kudogjendur dhe mobile</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sq-AL"/>
              </w:rPr>
            </w:pPr>
            <w:r>
              <w:rPr>
                <w:rFonts w:ascii="Times New Roman" w:eastAsia="Times New Roman" w:hAnsi="Times New Roman" w:cs="Times New Roman"/>
                <w:b/>
                <w:i/>
                <w:lang w:val="sq-AL"/>
              </w:rPr>
              <w:t xml:space="preserve">Java e katërmbëdhjetë</w:t>
            </w:r>
          </w:p>
        </w:tc>
        <w:tc>
          <w:tcPr>
            <w:tcW w:w="7796" w:type="dxa"/>
          </w:tcPr>
          <w:p w14:paraId="6995EE1C" w14:textId="29528F89" w:rsidR="00D67D7F" w:rsidRPr="009D0797" w:rsidRDefault="009D0797">
            <w:pPr>
              <w:ind w:left="0" w:hanging="2"/>
              <w:textDirection w:val="lrTb"/>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NNK në praktikë: raste studimore dhe aplikime në industri</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sq-AL"/>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sq-AL"/>
              </w:rPr>
            </w:pPr>
            <w:r>
              <w:rPr>
                <w:rFonts w:ascii="Times New Roman" w:eastAsia="Times New Roman" w:hAnsi="Times New Roman" w:cs="Times New Roman"/>
                <w:b/>
                <w:i/>
                <w:lang w:val="sq-AL"/>
              </w:rPr>
              <w:t xml:space="preserve">Java e pesëmbëdhjetë </w:t>
            </w:r>
          </w:p>
        </w:tc>
        <w:tc>
          <w:tcPr>
            <w:tcW w:w="7796" w:type="dxa"/>
          </w:tcPr>
          <w:p w14:paraId="5C54E294" w14:textId="34649377" w:rsidR="00D67D7F" w:rsidRPr="00A37C64" w:rsidRDefault="007E5A68">
            <w:pPr>
              <w:ind w:left="0" w:hanging="2"/>
              <w:textDirection w:val="lrTb"/>
              <w:rPr>
                <w:rFonts w:ascii="Times New Roman" w:hAnsi="Times New Roman" w:cs="Times New Roman"/>
                <w:sz w:val="24"/>
                <w:lang w:val="sq-AL"/>
              </w:rPr>
            </w:pPr>
            <w:r>
              <w:rPr>
                <w:rFonts w:ascii="Times New Roman" w:eastAsia="Times New Roman" w:hAnsi="Times New Roman" w:cs="Times New Roman"/>
                <w:sz w:val="24"/>
                <w:lang w:val="sq-AL"/>
              </w:rPr>
              <w:t xml:space="preserve">Prezantimi i projekteve dhe përmbyllja</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83548A" w:rsidRDefault="009375BF">
            <w:pPr>
              <w:pStyle w:val="Heading1"/>
              <w:ind w:left="0" w:hanging="2"/>
              <w:rPr>
                <w:rFonts w:ascii="Times New Roman" w:hAnsi="Times New Roman" w:cs="Times New Roman"/>
                <w:b w:val="0"/>
                <w:bCs w:val="0"/>
                <w:sz w:val="24"/>
                <w:szCs w:val="24"/>
                <w:lang w:val="sq-AL"/>
              </w:rPr>
            </w:pPr>
            <w:r>
              <w:rPr>
                <w:rFonts w:ascii="Times New Roman" w:hAnsi="Times New Roman" w:cs="Times New Roman"/>
                <w:b w:val="0"/>
                <w:bCs w:val="0"/>
                <w:sz w:val="24"/>
                <w:szCs w:val="24"/>
                <w:lang w:val="sq-AL"/>
              </w:rPr>
              <w:t xml:space="preserve">Literatura / Lista e leximit:</w:t>
            </w:r>
          </w:p>
          <w:p w14:paraId="01ED61DD" w14:textId="77777777" w:rsidR="00D67D7F" w:rsidRPr="0083548A"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sq-AL"/>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83548A"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Literatura</w:t>
            </w:r>
          </w:p>
        </w:tc>
        <w:tc>
          <w:tcPr>
            <w:tcW w:w="9360" w:type="dxa"/>
          </w:tcPr>
          <w:p w14:paraId="4E6AC224" w14:textId="6ADFA7F0" w:rsidR="0083548A" w:rsidRPr="0083548A" w:rsidRDefault="0083548A" w:rsidP="0083548A">
            <w:pPr>
              <w:pStyle w:val="ListParagraph"/>
              <w:numPr>
                <w:ilvl w:val="0"/>
                <w:numId w:val="15"/>
              </w:numPr>
              <w:ind w:leftChars="0" w:firstLineChars="0"/>
              <w:rPr>
                <w:rFonts w:ascii="Times New Roman" w:hAnsi="Times New Roman" w:cs="Times New Roman"/>
                <w:sz w:val="22"/>
                <w:szCs w:val="22"/>
                <w:lang w:val="sq-AL"/>
              </w:rPr>
            </w:pPr>
            <w:r>
              <w:rPr>
                <w:rFonts w:ascii="Times New Roman" w:hAnsi="Times New Roman" w:cs="Times New Roman"/>
                <w:b/>
                <w:bCs/>
                <w:sz w:val="22"/>
                <w:szCs w:val="22"/>
                <w:lang w:val="sq-AL"/>
              </w:rPr>
              <w:t xml:space="preserve">Shneiderman, B., Plaisant, C., Cohen, M., Jacobs, S., &amp; Elmqvist, N.</w:t>
            </w:r>
            <w:r>
              <w:rPr>
                <w:rFonts w:ascii="Times New Roman" w:hAnsi="Times New Roman" w:cs="Times New Roman"/>
                <w:sz w:val="22"/>
                <w:szCs w:val="22"/>
                <w:lang w:val="sq-AL"/>
              </w:rPr>
              <w:t xml:space="preserve"> (2016). Designing the User Interface: Strategies for Effective Human–Computer Interaction (bot. 6). Pearson.</w:t>
            </w:r>
          </w:p>
          <w:p w14:paraId="547B3B46" w14:textId="0B476E9A" w:rsidR="0083548A" w:rsidRPr="0083548A" w:rsidRDefault="0083548A" w:rsidP="0083548A">
            <w:pPr>
              <w:pStyle w:val="ListParagraph"/>
              <w:numPr>
                <w:ilvl w:val="0"/>
                <w:numId w:val="15"/>
              </w:numPr>
              <w:ind w:leftChars="0" w:firstLineChars="0"/>
              <w:rPr>
                <w:rFonts w:ascii="Times New Roman" w:hAnsi="Times New Roman" w:cs="Times New Roman"/>
                <w:sz w:val="22"/>
                <w:szCs w:val="22"/>
                <w:lang w:val="sq-AL"/>
              </w:rPr>
            </w:pPr>
            <w:r>
              <w:rPr>
                <w:rFonts w:ascii="Times New Roman" w:hAnsi="Times New Roman" w:cs="Times New Roman"/>
                <w:b/>
                <w:bCs/>
                <w:sz w:val="22"/>
                <w:szCs w:val="22"/>
                <w:lang w:val="sq-AL"/>
              </w:rPr>
              <w:t xml:space="preserve">Dix, A., Finlay, J., Abowd, G., &amp; Beale, R.</w:t>
            </w:r>
            <w:r>
              <w:rPr>
                <w:rFonts w:ascii="Times New Roman" w:hAnsi="Times New Roman" w:cs="Times New Roman"/>
                <w:sz w:val="22"/>
                <w:szCs w:val="22"/>
                <w:lang w:val="sq-AL"/>
              </w:rPr>
              <w:t xml:space="preserve"> (2004). Human–Computer Interaction (bot. 3). Pearson.</w:t>
            </w:r>
          </w:p>
          <w:p w14:paraId="3804E1E5" w14:textId="27435168" w:rsidR="0083548A" w:rsidRPr="0083548A" w:rsidRDefault="0083548A" w:rsidP="0083548A">
            <w:pPr>
              <w:pStyle w:val="ListParagraph"/>
              <w:numPr>
                <w:ilvl w:val="0"/>
                <w:numId w:val="15"/>
              </w:numPr>
              <w:ind w:leftChars="0" w:firstLineChars="0"/>
              <w:rPr>
                <w:rFonts w:ascii="Times New Roman" w:hAnsi="Times New Roman" w:cs="Times New Roman"/>
                <w:sz w:val="22"/>
                <w:szCs w:val="22"/>
                <w:lang w:val="sq-AL"/>
              </w:rPr>
            </w:pPr>
            <w:r>
              <w:rPr>
                <w:rFonts w:ascii="Times New Roman" w:hAnsi="Times New Roman" w:cs="Times New Roman"/>
                <w:b/>
                <w:bCs/>
                <w:sz w:val="22"/>
                <w:szCs w:val="22"/>
                <w:lang w:val="sq-AL"/>
              </w:rPr>
              <w:t xml:space="preserve">Sharp, H., Rogers, Y., &amp; Preece, J</w:t>
            </w:r>
            <w:r>
              <w:rPr>
                <w:rFonts w:ascii="Times New Roman" w:hAnsi="Times New Roman" w:cs="Times New Roman"/>
                <w:sz w:val="22"/>
                <w:szCs w:val="22"/>
                <w:lang w:val="sq-AL"/>
              </w:rPr>
              <w:t xml:space="preserve">. (2019). Interaction Design: Beyond Human–Computer Interaction (bot. 5). Wiley.</w:t>
            </w:r>
          </w:p>
          <w:p w14:paraId="74C00AF1" w14:textId="6FAF69E5" w:rsidR="00D67D7F" w:rsidRPr="0083548A" w:rsidRDefault="0083548A" w:rsidP="0083548A">
            <w:pPr>
              <w:numPr>
                <w:ilvl w:val="0"/>
                <w:numId w:val="15"/>
              </w:numPr>
              <w:ind w:leftChars="0" w:firstLineChars="0"/>
              <w:rPr>
                <w:rFonts w:ascii="Times New Roman" w:hAnsi="Times New Roman" w:cs="Times New Roman"/>
                <w:sz w:val="22"/>
                <w:szCs w:val="22"/>
                <w:lang w:val="sq-AL"/>
              </w:rPr>
            </w:pPr>
            <w:r>
              <w:rPr>
                <w:rFonts w:ascii="Times New Roman" w:hAnsi="Times New Roman" w:cs="Times New Roman"/>
                <w:b/>
                <w:bCs/>
                <w:sz w:val="22"/>
                <w:szCs w:val="22"/>
                <w:lang w:val="sq-AL"/>
              </w:rPr>
              <w:t xml:space="preserve">Nielsen, J. </w:t>
            </w:r>
            <w:r>
              <w:rPr>
                <w:rFonts w:ascii="Times New Roman" w:hAnsi="Times New Roman" w:cs="Times New Roman"/>
                <w:sz w:val="22"/>
                <w:szCs w:val="22"/>
                <w:lang w:val="sq-AL"/>
              </w:rPr>
              <w:t xml:space="preserve">(1994). Usability Engineering. Morgan Kaufmann. </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Metodat e mësimdhënies dhe të nxënit</w:t>
            </w:r>
          </w:p>
        </w:tc>
        <w:tc>
          <w:tcPr>
            <w:tcW w:w="9360" w:type="dxa"/>
            <w:gridSpan w:val="4"/>
            <w:tcBorders>
              <w:right w:val="single" w:sz="4" w:space="0" w:color="000000"/>
            </w:tcBorders>
          </w:tcPr>
          <w:p w14:paraId="2A8702E7" w14:textId="28F2BCFE" w:rsidR="00C30897" w:rsidRDefault="0083548A" w:rsidP="00A55D7D">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b/>
                <w:bCs/>
                <w:position w:val="0"/>
                <w:sz w:val="24"/>
                <w:lang w:val="sq-AL" w:eastAsia="en-US"/>
              </w:rPr>
            </w:pPr>
            <w:r>
              <w:rPr>
                <w:rFonts w:ascii="Times New Roman" w:eastAsia="Times New Roman" w:hAnsi="Times New Roman" w:cs="Times New Roman"/>
                <w:position w:val="0"/>
                <w:sz w:val="24"/>
                <w:lang w:val="sq-AL" w:eastAsia="en-US"/>
              </w:rPr>
              <w:t xml:space="preserve">Lënda kombinon ligjëratat për bazat teorike me ushtrimet laboratorike për shkathtësitë praktike të dizajnit. Studentët mësojnë përmes shembujve të udhëzuar, vlerësimeve të përdorshmërisë dhe punës së bazuar në projekte, duke zbatuar metodat e dizajnit dhe të testimit në sisteme interaktive reale.</w:t>
            </w:r>
          </w:p>
          <w:p w14:paraId="29BF09D4" w14:textId="1B33C4CE" w:rsidR="00A55D7D" w:rsidRDefault="007E030A" w:rsidP="00A55D7D">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sq-AL" w:eastAsia="en-US"/>
              </w:rPr>
            </w:pPr>
            <w:r>
              <w:rPr>
                <w:rFonts w:ascii="Times New Roman" w:eastAsia="Times New Roman" w:hAnsi="Times New Roman" w:cs="Times New Roman"/>
                <w:b/>
                <w:bCs/>
                <w:position w:val="0"/>
                <w:sz w:val="24"/>
                <w:lang w:val="sq-AL" w:eastAsia="en-US"/>
              </w:rPr>
              <w:t xml:space="preserve">Ligjërata të strukturuara</w:t>
            </w:r>
            <w:r>
              <w:rPr>
                <w:rFonts w:ascii="Times New Roman" w:eastAsia="Times New Roman" w:hAnsi="Times New Roman" w:cs="Times New Roman"/>
                <w:position w:val="0"/>
                <w:sz w:val="24"/>
                <w:lang w:val="sq-AL" w:eastAsia="en-US"/>
              </w:rPr>
              <w:t xml:space="preserve">:</w:t>
            </w:r>
            <w:r>
              <w:t xml:space="preserve"> </w:t>
            </w:r>
            <w:r>
              <w:rPr>
                <w:rFonts w:ascii="Times New Roman" w:eastAsia="Times New Roman" w:hAnsi="Times New Roman" w:cs="Times New Roman"/>
                <w:position w:val="0"/>
                <w:sz w:val="24"/>
                <w:lang w:val="sq-AL" w:eastAsia="en-US"/>
              </w:rPr>
              <w:t xml:space="preserve">prezantimi i parimeve kryesore të NNK-së dhe i udhëzimeve të dizajnit.</w:t>
            </w:r>
          </w:p>
          <w:p w14:paraId="176BFD0B" w14:textId="43170914" w:rsidR="00A55D7D"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sq-AL" w:eastAsia="en-US"/>
              </w:rPr>
            </w:pPr>
            <w:r>
              <w:rPr>
                <w:rFonts w:ascii="Times New Roman" w:eastAsia="Times New Roman" w:hAnsi="Times New Roman" w:cs="Times New Roman"/>
                <w:b/>
                <w:bCs/>
                <w:position w:val="0"/>
                <w:sz w:val="24"/>
                <w:lang w:val="sq-AL" w:eastAsia="en-US"/>
              </w:rPr>
              <w:t xml:space="preserve">Të nxënit e bazuar në probleme (PBL)</w:t>
            </w:r>
            <w:r>
              <w:rPr>
                <w:rFonts w:ascii="Times New Roman" w:eastAsia="Times New Roman" w:hAnsi="Times New Roman" w:cs="Times New Roman"/>
                <w:position w:val="0"/>
                <w:sz w:val="24"/>
                <w:lang w:val="sq-AL" w:eastAsia="en-US"/>
              </w:rPr>
              <w:t xml:space="preserve">: zgjidhja e sfidave të dizajnit të ndërfaqeve dhe të përdorshmërisë.</w:t>
            </w:r>
          </w:p>
          <w:p w14:paraId="6E9D0652" w14:textId="6BC9F05D"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sq-AL" w:eastAsia="en-US"/>
              </w:rPr>
            </w:pPr>
            <w:r>
              <w:rPr>
                <w:rFonts w:ascii="Times New Roman" w:eastAsia="Times New Roman" w:hAnsi="Times New Roman" w:cs="Times New Roman"/>
                <w:b/>
                <w:bCs/>
                <w:position w:val="0"/>
                <w:sz w:val="24"/>
                <w:lang w:val="sq-AL" w:eastAsia="en-US"/>
              </w:rPr>
              <w:t xml:space="preserve">Të nxënit e bazuar në projekte</w:t>
            </w:r>
            <w:r>
              <w:rPr>
                <w:rFonts w:ascii="Times New Roman" w:eastAsia="Times New Roman" w:hAnsi="Times New Roman" w:cs="Times New Roman"/>
                <w:position w:val="0"/>
                <w:sz w:val="24"/>
                <w:lang w:val="sq-AL" w:eastAsia="en-US"/>
              </w:rPr>
              <w:t xml:space="preserve">: projekte në grup për dizajnimin dhe vlerësimin e prototipeve interaktive.</w:t>
            </w:r>
          </w:p>
          <w:p w14:paraId="5112BBAE" w14:textId="2F2D404E"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sq-AL" w:eastAsia="en-US"/>
              </w:rPr>
            </w:pPr>
            <w:r>
              <w:rPr>
                <w:rFonts w:ascii="Times New Roman" w:eastAsia="Times New Roman" w:hAnsi="Times New Roman" w:cs="Times New Roman"/>
                <w:b/>
                <w:bCs/>
                <w:position w:val="0"/>
                <w:sz w:val="24"/>
                <w:lang w:val="sq-AL" w:eastAsia="en-US"/>
              </w:rPr>
              <w:t xml:space="preserve">Raste studimore</w:t>
            </w:r>
            <w:r>
              <w:rPr>
                <w:rFonts w:ascii="Times New Roman" w:eastAsia="Times New Roman" w:hAnsi="Times New Roman" w:cs="Times New Roman"/>
                <w:position w:val="0"/>
                <w:sz w:val="24"/>
                <w:lang w:val="sq-AL" w:eastAsia="en-US"/>
              </w:rPr>
              <w:t xml:space="preserve">: analiza e sistemeve interaktive reale.</w:t>
            </w:r>
          </w:p>
          <w:p w14:paraId="0BD81FA4" w14:textId="4493413A" w:rsidR="00BB2207" w:rsidRPr="00AC2EFE"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sq-AL" w:eastAsia="en-US"/>
              </w:rPr>
            </w:pPr>
            <w:r>
              <w:rPr>
                <w:rFonts w:ascii="Times New Roman" w:eastAsia="Times New Roman" w:hAnsi="Times New Roman" w:cs="Times New Roman"/>
                <w:b/>
                <w:bCs/>
                <w:position w:val="0"/>
                <w:sz w:val="24"/>
                <w:lang w:val="sq-AL" w:eastAsia="en-US"/>
              </w:rPr>
              <w:t xml:space="preserve">Ushtrime laboratorike</w:t>
            </w:r>
            <w:r>
              <w:rPr>
                <w:rFonts w:ascii="Times New Roman" w:eastAsia="Times New Roman" w:hAnsi="Times New Roman" w:cs="Times New Roman"/>
                <w:position w:val="0"/>
                <w:sz w:val="24"/>
                <w:lang w:val="sq-AL" w:eastAsia="en-US"/>
              </w:rPr>
              <w:t xml:space="preserve">: prototipizim praktik dhe testim i përdorshmërisë.</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sq-AL"/>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Kontributi në ngarkesën e studentit (e cila duhet të korrespondojë me rezultatet e të nxënit të studentit – 1 kredi ECTS = 25 orë)</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eastAsia="Calibri" w:hAnsi="Times New Roman" w:cs="Times New Roman"/>
                <w:b/>
                <w:lang w:val="sq-AL"/>
              </w:rPr>
              <w:t xml:space="preserve">Aktiviteti</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eastAsia="Calibri" w:hAnsi="Times New Roman" w:cs="Times New Roman"/>
                <w:b/>
                <w:lang w:val="sq-AL"/>
              </w:rPr>
              <w:t xml:space="preserve">Orë</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eastAsia="Calibri" w:hAnsi="Times New Roman" w:cs="Times New Roman"/>
                <w:b/>
                <w:lang w:val="sq-AL"/>
              </w:rPr>
              <w:t xml:space="preserve">Ditë/javë</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eastAsia="Calibri" w:hAnsi="Times New Roman" w:cs="Times New Roman"/>
                <w:b/>
                <w:lang w:val="sq-AL"/>
              </w:rPr>
              <w:t xml:space="preserve">Gjithsej</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Ligjërata</w:t>
            </w:r>
          </w:p>
        </w:tc>
        <w:tc>
          <w:tcPr>
            <w:tcW w:w="810" w:type="dxa"/>
            <w:tcBorders>
              <w:left w:val="single" w:sz="4" w:space="0" w:color="000000"/>
              <w:right w:val="single" w:sz="4" w:space="0" w:color="000000"/>
            </w:tcBorders>
            <w:shd w:val="clear" w:color="auto" w:fill="FFFFFF"/>
          </w:tcPr>
          <w:p w14:paraId="3FB329B5" w14:textId="54E008A1" w:rsidR="00D67D7F" w:rsidRPr="00BB2207" w:rsidRDefault="00C336E9">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15</w:t>
            </w:r>
          </w:p>
        </w:tc>
        <w:tc>
          <w:tcPr>
            <w:tcW w:w="1080" w:type="dxa"/>
            <w:tcBorders>
              <w:left w:val="single" w:sz="4" w:space="0" w:color="000000"/>
            </w:tcBorders>
            <w:shd w:val="clear" w:color="auto" w:fill="FFFFFF"/>
          </w:tcPr>
          <w:p w14:paraId="4672ABB2" w14:textId="31EB13FB" w:rsidR="00D67D7F" w:rsidRPr="00BB2207" w:rsidRDefault="00C336E9">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30</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7928E742" w14:textId="094396D5"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Ushtrime/Laboratore</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260" w:type="dxa"/>
            <w:tcBorders>
              <w:left w:val="single" w:sz="4" w:space="0" w:color="000000"/>
              <w:right w:val="single" w:sz="4" w:space="0" w:color="000000"/>
            </w:tcBorders>
            <w:shd w:val="clear" w:color="auto" w:fill="FFFFFF"/>
          </w:tcPr>
          <w:p w14:paraId="03D0F5E1" w14:textId="37B4705C" w:rsidR="00D67D7F" w:rsidRPr="00BB2207" w:rsidRDefault="00C336E9">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10</w:t>
            </w:r>
          </w:p>
        </w:tc>
        <w:tc>
          <w:tcPr>
            <w:tcW w:w="1080" w:type="dxa"/>
            <w:tcBorders>
              <w:left w:val="single" w:sz="4" w:space="0" w:color="000000"/>
            </w:tcBorders>
            <w:shd w:val="clear" w:color="auto" w:fill="FFFFFF"/>
          </w:tcPr>
          <w:p w14:paraId="0275585D" w14:textId="21C326EF" w:rsidR="00D67D7F" w:rsidRPr="00BB2207" w:rsidRDefault="00C336E9">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7A596204" w14:textId="7DFA478B"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Punë praktike në projekt</w:t>
            </w:r>
          </w:p>
        </w:tc>
        <w:tc>
          <w:tcPr>
            <w:tcW w:w="810" w:type="dxa"/>
            <w:tcBorders>
              <w:left w:val="single" w:sz="4" w:space="0" w:color="000000"/>
              <w:right w:val="single" w:sz="4" w:space="0" w:color="000000"/>
            </w:tcBorders>
            <w:shd w:val="clear" w:color="auto" w:fill="FFFFFF"/>
          </w:tcPr>
          <w:p w14:paraId="52122FFC" w14:textId="2E0B18C8" w:rsidR="00D67D7F" w:rsidRPr="00BB2207" w:rsidRDefault="000611E8">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260" w:type="dxa"/>
            <w:tcBorders>
              <w:left w:val="single" w:sz="4" w:space="0" w:color="000000"/>
              <w:right w:val="single" w:sz="4" w:space="0" w:color="000000"/>
            </w:tcBorders>
            <w:shd w:val="clear" w:color="auto" w:fill="FFFFFF"/>
          </w:tcPr>
          <w:p w14:paraId="1EC7AC31" w14:textId="25F08A03" w:rsidR="00D67D7F" w:rsidRPr="00BB2207" w:rsidRDefault="00C336E9">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sz w:val="24"/>
                <w:lang w:val="sq-AL"/>
              </w:rPr>
              <w:t>3</w:t>
            </w:r>
          </w:p>
        </w:tc>
        <w:tc>
          <w:tcPr>
            <w:tcW w:w="1080" w:type="dxa"/>
            <w:tcBorders>
              <w:left w:val="single" w:sz="4" w:space="0" w:color="000000"/>
            </w:tcBorders>
            <w:shd w:val="clear" w:color="auto" w:fill="FFFFFF"/>
          </w:tcPr>
          <w:p w14:paraId="6D259EE0" w14:textId="3D171D20" w:rsidR="00D67D7F" w:rsidRPr="000611E8" w:rsidRDefault="00C336E9">
            <w:pPr>
              <w:ind w:left="0" w:hanging="2"/>
              <w:jc w:val="center"/>
              <w:rPr>
                <w:rFonts w:ascii="Times New Roman" w:hAnsi="Times New Roman" w:cs="Times New Roman"/>
                <w:lang w:val="sq-AL"/>
              </w:rPr>
            </w:pPr>
            <w:r>
              <w:rPr>
                <w:rFonts w:ascii="Times New Roman" w:hAnsi="Times New Roman" w:cs="Times New Roman"/>
                <w:lang w:val="sq-AL"/>
              </w:rPr>
              <w:t>6</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2C06E7BB" w14:textId="77777777"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Konsultime</w:t>
            </w:r>
          </w:p>
        </w:tc>
        <w:tc>
          <w:tcPr>
            <w:tcW w:w="810" w:type="dxa"/>
            <w:tcBorders>
              <w:left w:val="single" w:sz="4" w:space="0" w:color="000000"/>
              <w:right w:val="single" w:sz="4" w:space="0" w:color="000000"/>
            </w:tcBorders>
            <w:shd w:val="clear" w:color="auto" w:fill="FFFFFF"/>
          </w:tcPr>
          <w:p w14:paraId="1FF4BBCA" w14:textId="77777777" w:rsidR="00D67D7F" w:rsidRPr="00BB2207" w:rsidRDefault="009375BF">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1</w:t>
            </w:r>
          </w:p>
        </w:tc>
        <w:tc>
          <w:tcPr>
            <w:tcW w:w="1260" w:type="dxa"/>
            <w:tcBorders>
              <w:left w:val="single" w:sz="4" w:space="0" w:color="000000"/>
              <w:right w:val="single" w:sz="4" w:space="0" w:color="000000"/>
            </w:tcBorders>
            <w:shd w:val="clear" w:color="auto" w:fill="FFFFFF"/>
          </w:tcPr>
          <w:p w14:paraId="0AD4F978" w14:textId="21828406" w:rsidR="00D67D7F" w:rsidRPr="00BB2207" w:rsidRDefault="00C336E9">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8</w:t>
            </w:r>
          </w:p>
        </w:tc>
        <w:tc>
          <w:tcPr>
            <w:tcW w:w="1080" w:type="dxa"/>
            <w:tcBorders>
              <w:left w:val="single" w:sz="4" w:space="0" w:color="000000"/>
            </w:tcBorders>
            <w:shd w:val="clear" w:color="auto" w:fill="FFFFFF"/>
          </w:tcPr>
          <w:p w14:paraId="27733634" w14:textId="1B1073D3" w:rsidR="00D67D7F" w:rsidRPr="00BB2207" w:rsidRDefault="00C336E9">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8</w:t>
            </w:r>
          </w:p>
        </w:tc>
      </w:tr>
      <w:tr w:rsidR="0041698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3F156D7C" w14:textId="77777777" w:rsidR="0041698D" w:rsidRPr="00BB2207" w:rsidRDefault="0041698D" w:rsidP="0041698D">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Kollokviume, seminare</w:t>
            </w:r>
          </w:p>
        </w:tc>
        <w:tc>
          <w:tcPr>
            <w:tcW w:w="810" w:type="dxa"/>
            <w:tcBorders>
              <w:left w:val="single" w:sz="4" w:space="0" w:color="000000"/>
              <w:right w:val="single" w:sz="4" w:space="0" w:color="000000"/>
            </w:tcBorders>
            <w:shd w:val="clear" w:color="auto" w:fill="FFFFFF"/>
          </w:tcPr>
          <w:p w14:paraId="3415F814" w14:textId="33228FAE" w:rsidR="0041698D" w:rsidRPr="00BB2207" w:rsidRDefault="0041698D"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260" w:type="dxa"/>
            <w:tcBorders>
              <w:left w:val="single" w:sz="4" w:space="0" w:color="000000"/>
              <w:right w:val="single" w:sz="4" w:space="0" w:color="000000"/>
            </w:tcBorders>
            <w:shd w:val="clear" w:color="auto" w:fill="FFFFFF"/>
          </w:tcPr>
          <w:p w14:paraId="49DADC6D" w14:textId="448FA5F7"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080" w:type="dxa"/>
            <w:tcBorders>
              <w:left w:val="single" w:sz="4" w:space="0" w:color="000000"/>
            </w:tcBorders>
            <w:shd w:val="clear" w:color="auto" w:fill="FFFFFF"/>
          </w:tcPr>
          <w:p w14:paraId="6C470E2C" w14:textId="5EF550BA"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sz w:val="24"/>
                <w:lang w:val="sq-AL"/>
              </w:rPr>
              <w:t>4</w:t>
            </w:r>
          </w:p>
        </w:tc>
      </w:tr>
      <w:tr w:rsidR="0041698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168FB0D9" w14:textId="77777777" w:rsidR="0041698D" w:rsidRPr="00BB2207" w:rsidRDefault="0041698D" w:rsidP="0041698D">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Detyra shtëpie</w:t>
            </w:r>
          </w:p>
        </w:tc>
        <w:tc>
          <w:tcPr>
            <w:tcW w:w="810" w:type="dxa"/>
            <w:tcBorders>
              <w:left w:val="single" w:sz="4" w:space="0" w:color="000000"/>
              <w:right w:val="single" w:sz="4" w:space="0" w:color="000000"/>
            </w:tcBorders>
            <w:shd w:val="clear" w:color="auto" w:fill="FFFFFF"/>
          </w:tcPr>
          <w:p w14:paraId="21802696" w14:textId="62C3E7E1"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260" w:type="dxa"/>
            <w:tcBorders>
              <w:left w:val="single" w:sz="4" w:space="0" w:color="000000"/>
              <w:right w:val="single" w:sz="4" w:space="0" w:color="000000"/>
            </w:tcBorders>
            <w:shd w:val="clear" w:color="auto" w:fill="FFFFFF"/>
          </w:tcPr>
          <w:p w14:paraId="4C551358" w14:textId="1AD95361" w:rsidR="0041698D" w:rsidRPr="00BB2207" w:rsidRDefault="0041698D"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080" w:type="dxa"/>
            <w:tcBorders>
              <w:left w:val="single" w:sz="4" w:space="0" w:color="000000"/>
            </w:tcBorders>
            <w:shd w:val="clear" w:color="auto" w:fill="FFFFFF"/>
          </w:tcPr>
          <w:p w14:paraId="76D4026A" w14:textId="6CCC35F8"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4</w:t>
            </w:r>
          </w:p>
        </w:tc>
      </w:tr>
      <w:tr w:rsidR="0041698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72202729" w14:textId="77777777" w:rsidR="0041698D" w:rsidRPr="00BB2207" w:rsidRDefault="0041698D" w:rsidP="0041698D">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Studim i pavarur</w:t>
            </w:r>
          </w:p>
        </w:tc>
        <w:tc>
          <w:tcPr>
            <w:tcW w:w="810" w:type="dxa"/>
            <w:tcBorders>
              <w:left w:val="single" w:sz="4" w:space="0" w:color="000000"/>
              <w:right w:val="single" w:sz="4" w:space="0" w:color="000000"/>
            </w:tcBorders>
            <w:shd w:val="clear" w:color="auto" w:fill="FFFFFF"/>
          </w:tcPr>
          <w:p w14:paraId="568B4E4C" w14:textId="242A4C3A"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sz w:val="24"/>
                <w:lang w:val="sq-AL"/>
              </w:rPr>
              <w:t>3</w:t>
            </w:r>
          </w:p>
        </w:tc>
        <w:tc>
          <w:tcPr>
            <w:tcW w:w="1260" w:type="dxa"/>
            <w:tcBorders>
              <w:left w:val="single" w:sz="4" w:space="0" w:color="000000"/>
              <w:right w:val="single" w:sz="4" w:space="0" w:color="000000"/>
            </w:tcBorders>
            <w:shd w:val="clear" w:color="auto" w:fill="FFFFFF"/>
          </w:tcPr>
          <w:p w14:paraId="3947A3EF" w14:textId="7563A63F"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sz w:val="24"/>
                <w:lang w:val="sq-AL"/>
              </w:rPr>
              <w:t>3</w:t>
            </w:r>
          </w:p>
        </w:tc>
        <w:tc>
          <w:tcPr>
            <w:tcW w:w="1080" w:type="dxa"/>
            <w:tcBorders>
              <w:left w:val="single" w:sz="4" w:space="0" w:color="000000"/>
            </w:tcBorders>
            <w:shd w:val="clear" w:color="auto" w:fill="FFFFFF"/>
          </w:tcPr>
          <w:p w14:paraId="0C68D800" w14:textId="5EE25A6D"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sz w:val="24"/>
                <w:lang w:val="sq-AL"/>
              </w:rPr>
              <w:t>9</w:t>
            </w:r>
          </w:p>
        </w:tc>
      </w:tr>
      <w:tr w:rsidR="0041698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523009C3" w14:textId="77777777" w:rsidR="0041698D" w:rsidRPr="00BB2207" w:rsidRDefault="0041698D" w:rsidP="0041698D">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Përgatitja për provimin përfundimtar</w:t>
            </w:r>
          </w:p>
        </w:tc>
        <w:tc>
          <w:tcPr>
            <w:tcW w:w="810" w:type="dxa"/>
            <w:tcBorders>
              <w:left w:val="single" w:sz="4" w:space="0" w:color="000000"/>
              <w:right w:val="single" w:sz="4" w:space="0" w:color="000000"/>
            </w:tcBorders>
            <w:shd w:val="clear" w:color="auto" w:fill="FFFFFF"/>
          </w:tcPr>
          <w:p w14:paraId="17F369E4" w14:textId="77777777" w:rsidR="0041698D" w:rsidRPr="00BB2207" w:rsidRDefault="0041698D"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3</w:t>
            </w:r>
          </w:p>
        </w:tc>
        <w:tc>
          <w:tcPr>
            <w:tcW w:w="1260" w:type="dxa"/>
            <w:tcBorders>
              <w:left w:val="single" w:sz="4" w:space="0" w:color="000000"/>
              <w:right w:val="single" w:sz="4" w:space="0" w:color="000000"/>
            </w:tcBorders>
            <w:shd w:val="clear" w:color="auto" w:fill="FFFFFF"/>
          </w:tcPr>
          <w:p w14:paraId="70320074" w14:textId="0487A1B8"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3</w:t>
            </w:r>
          </w:p>
        </w:tc>
        <w:tc>
          <w:tcPr>
            <w:tcW w:w="1080" w:type="dxa"/>
            <w:tcBorders>
              <w:left w:val="single" w:sz="4" w:space="0" w:color="000000"/>
            </w:tcBorders>
            <w:shd w:val="clear" w:color="auto" w:fill="FFFFFF"/>
          </w:tcPr>
          <w:p w14:paraId="49485DEC" w14:textId="4486FACB" w:rsidR="0041698D" w:rsidRPr="00096F2C" w:rsidRDefault="00C336E9" w:rsidP="0041698D">
            <w:pPr>
              <w:ind w:left="0" w:hanging="2"/>
              <w:jc w:val="center"/>
              <w:rPr>
                <w:rFonts w:ascii="Times New Roman" w:hAnsi="Times New Roman" w:cs="Times New Roman"/>
                <w:lang w:val="sq-AL"/>
              </w:rPr>
            </w:pPr>
            <w:r>
              <w:rPr>
                <w:rFonts w:ascii="Times New Roman" w:hAnsi="Times New Roman" w:cs="Times New Roman"/>
                <w:lang w:val="sq-AL"/>
              </w:rPr>
              <w:t>9</w:t>
            </w:r>
          </w:p>
        </w:tc>
      </w:tr>
      <w:tr w:rsidR="0041698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3D5D6B82" w14:textId="77777777" w:rsidR="0041698D" w:rsidRPr="00BB2207" w:rsidRDefault="0041698D" w:rsidP="0041698D">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Koha e kaluar në provime</w:t>
            </w:r>
          </w:p>
        </w:tc>
        <w:tc>
          <w:tcPr>
            <w:tcW w:w="810" w:type="dxa"/>
            <w:tcBorders>
              <w:left w:val="single" w:sz="4" w:space="0" w:color="000000"/>
              <w:right w:val="single" w:sz="4" w:space="0" w:color="000000"/>
            </w:tcBorders>
            <w:shd w:val="clear" w:color="auto" w:fill="FFFFFF"/>
          </w:tcPr>
          <w:p w14:paraId="43F21D96" w14:textId="77777777" w:rsidR="0041698D" w:rsidRPr="00BB2207" w:rsidRDefault="0041698D"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260" w:type="dxa"/>
            <w:tcBorders>
              <w:left w:val="single" w:sz="4" w:space="0" w:color="000000"/>
              <w:right w:val="single" w:sz="4" w:space="0" w:color="000000"/>
            </w:tcBorders>
            <w:shd w:val="clear" w:color="auto" w:fill="FFFFFF"/>
          </w:tcPr>
          <w:p w14:paraId="3A65E8A5" w14:textId="77777777" w:rsidR="0041698D" w:rsidRPr="00BB2207" w:rsidRDefault="0041698D"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080" w:type="dxa"/>
            <w:tcBorders>
              <w:left w:val="single" w:sz="4" w:space="0" w:color="000000"/>
            </w:tcBorders>
            <w:shd w:val="clear" w:color="auto" w:fill="FFFFFF"/>
          </w:tcPr>
          <w:p w14:paraId="729AE405" w14:textId="77777777" w:rsidR="0041698D" w:rsidRPr="00BB2207" w:rsidRDefault="0041698D"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4</w:t>
            </w:r>
          </w:p>
        </w:tc>
      </w:tr>
      <w:tr w:rsidR="0041698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sq-AL"/>
              </w:rPr>
            </w:pPr>
          </w:p>
        </w:tc>
        <w:tc>
          <w:tcPr>
            <w:tcW w:w="6210" w:type="dxa"/>
            <w:tcBorders>
              <w:right w:val="single" w:sz="4" w:space="0" w:color="000000"/>
            </w:tcBorders>
            <w:shd w:val="clear" w:color="auto" w:fill="FFFFFF"/>
          </w:tcPr>
          <w:p w14:paraId="7F8A3CCF" w14:textId="77777777" w:rsidR="0041698D" w:rsidRPr="00BB2207" w:rsidRDefault="0041698D" w:rsidP="0041698D">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Projekte, prezantime etj.</w:t>
            </w:r>
          </w:p>
        </w:tc>
        <w:tc>
          <w:tcPr>
            <w:tcW w:w="810" w:type="dxa"/>
            <w:tcBorders>
              <w:left w:val="single" w:sz="4" w:space="0" w:color="000000"/>
              <w:right w:val="single" w:sz="4" w:space="0" w:color="000000"/>
            </w:tcBorders>
            <w:shd w:val="clear" w:color="auto" w:fill="FFFFFF"/>
          </w:tcPr>
          <w:p w14:paraId="754BBF91" w14:textId="77777777" w:rsidR="0041698D" w:rsidRPr="00BB2207" w:rsidRDefault="0041698D"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2</w:t>
            </w:r>
          </w:p>
        </w:tc>
        <w:tc>
          <w:tcPr>
            <w:tcW w:w="1260" w:type="dxa"/>
            <w:tcBorders>
              <w:left w:val="single" w:sz="4" w:space="0" w:color="000000"/>
              <w:right w:val="single" w:sz="4" w:space="0" w:color="000000"/>
            </w:tcBorders>
            <w:shd w:val="clear" w:color="auto" w:fill="FFFFFF"/>
          </w:tcPr>
          <w:p w14:paraId="76010CF1" w14:textId="0F8E0CD0"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3</w:t>
            </w:r>
          </w:p>
        </w:tc>
        <w:tc>
          <w:tcPr>
            <w:tcW w:w="1080" w:type="dxa"/>
            <w:tcBorders>
              <w:left w:val="single" w:sz="4" w:space="0" w:color="000000"/>
            </w:tcBorders>
            <w:shd w:val="clear" w:color="auto" w:fill="FFFFFF"/>
          </w:tcPr>
          <w:p w14:paraId="215A6FB7" w14:textId="0A333580"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hAnsi="Times New Roman" w:cs="Times New Roman"/>
                <w:lang w:val="sq-AL"/>
              </w:rPr>
              <w:t>6</w:t>
            </w:r>
          </w:p>
        </w:tc>
      </w:tr>
      <w:tr w:rsidR="0041698D"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1698D" w:rsidRPr="00BB2207" w:rsidRDefault="0041698D" w:rsidP="0041698D">
            <w:pPr>
              <w:ind w:left="0" w:hanging="2"/>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Gjithsej</w:t>
            </w:r>
          </w:p>
        </w:tc>
        <w:tc>
          <w:tcPr>
            <w:tcW w:w="810" w:type="dxa"/>
            <w:tcBorders>
              <w:left w:val="single" w:sz="4" w:space="0" w:color="000000"/>
              <w:right w:val="single" w:sz="4" w:space="0" w:color="000000"/>
            </w:tcBorders>
            <w:shd w:val="clear" w:color="auto" w:fill="B8CCE4"/>
          </w:tcPr>
          <w:p w14:paraId="4677D317" w14:textId="77777777" w:rsidR="0041698D" w:rsidRPr="00BB2207" w:rsidRDefault="0041698D" w:rsidP="0041698D">
            <w:pPr>
              <w:ind w:left="0" w:hanging="2"/>
              <w:jc w:val="center"/>
              <w:rPr>
                <w:rFonts w:ascii="Times New Roman" w:eastAsia="Times New Roman" w:hAnsi="Times New Roman" w:cs="Times New Roman"/>
                <w:sz w:val="24"/>
                <w:lang w:val="sq-AL"/>
              </w:rPr>
            </w:pPr>
          </w:p>
        </w:tc>
        <w:tc>
          <w:tcPr>
            <w:tcW w:w="1260" w:type="dxa"/>
            <w:tcBorders>
              <w:left w:val="single" w:sz="4" w:space="0" w:color="000000"/>
              <w:right w:val="single" w:sz="4" w:space="0" w:color="000000"/>
            </w:tcBorders>
            <w:shd w:val="clear" w:color="auto" w:fill="B8CCE4"/>
          </w:tcPr>
          <w:p w14:paraId="7DE9F105" w14:textId="77777777" w:rsidR="0041698D" w:rsidRPr="00BB2207" w:rsidRDefault="0041698D" w:rsidP="0041698D">
            <w:pPr>
              <w:ind w:left="0" w:hanging="2"/>
              <w:jc w:val="center"/>
              <w:rPr>
                <w:rFonts w:ascii="Times New Roman" w:eastAsia="Times New Roman" w:hAnsi="Times New Roman" w:cs="Times New Roman"/>
                <w:sz w:val="24"/>
                <w:lang w:val="sq-AL"/>
              </w:rPr>
            </w:pPr>
          </w:p>
        </w:tc>
        <w:tc>
          <w:tcPr>
            <w:tcW w:w="1080" w:type="dxa"/>
            <w:tcBorders>
              <w:left w:val="single" w:sz="4" w:space="0" w:color="000000"/>
            </w:tcBorders>
            <w:shd w:val="clear" w:color="auto" w:fill="B8CCE4"/>
          </w:tcPr>
          <w:p w14:paraId="12D03A97" w14:textId="078C1136" w:rsidR="0041698D" w:rsidRPr="00BB2207" w:rsidRDefault="00C336E9" w:rsidP="0041698D">
            <w:pPr>
              <w:ind w:left="0" w:hanging="2"/>
              <w:jc w:val="center"/>
              <w:rPr>
                <w:rFonts w:ascii="Times New Roman" w:eastAsia="Times New Roman" w:hAnsi="Times New Roman" w:cs="Times New Roman"/>
                <w:sz w:val="24"/>
                <w:lang w:val="sq-AL"/>
              </w:rPr>
            </w:pPr>
            <w:r>
              <w:rPr>
                <w:rFonts w:ascii="Times New Roman" w:eastAsia="Times New Roman" w:hAnsi="Times New Roman" w:cs="Times New Roman"/>
                <w:b/>
                <w:sz w:val="24"/>
                <w:lang w:val="sq-AL"/>
              </w:rPr>
              <w:t>100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sq-AL"/>
              </w:rPr>
            </w:pPr>
            <w:r>
              <w:rPr>
                <w:rFonts w:ascii="Times New Roman" w:eastAsia="Times New Roman" w:hAnsi="Times New Roman" w:cs="Times New Roman"/>
                <w:b/>
                <w:color w:val="000000"/>
                <w:sz w:val="24"/>
                <w:lang w:val="sq-AL"/>
              </w:rPr>
              <w:t xml:space="preserve">Vlerësimi</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sq-AL"/>
              </w:rPr>
            </w:pPr>
            <w:r>
              <w:rPr>
                <w:rFonts w:ascii="Times New Roman" w:hAnsi="Times New Roman" w:cs="Times New Roman"/>
                <w:sz w:val="24"/>
                <w:szCs w:val="24"/>
                <w:lang w:val="sq-AL"/>
              </w:rPr>
              <w:t xml:space="preserve">Metodat dhe kriteret e vlerësimit:</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 xml:space="preserve">Aktiviteti</w:t>
                  </w:r>
                </w:p>
              </w:tc>
              <w:tc>
                <w:tcPr>
                  <w:tcW w:w="4320" w:type="dxa"/>
                </w:tcPr>
                <w:p w14:paraId="0EBFA602"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 xml:space="preserve">Pesha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 xml:space="preserve">Provimi i ndërmjetëm (kollokviumi)</w:t>
                  </w:r>
                </w:p>
              </w:tc>
              <w:tc>
                <w:tcPr>
                  <w:tcW w:w="4320" w:type="dxa"/>
                </w:tcPr>
                <w:p w14:paraId="399B770B"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 xml:space="preserve">Raporti i projektit dhe mbrojtja</w:t>
                  </w:r>
                </w:p>
              </w:tc>
              <w:tc>
                <w:tcPr>
                  <w:tcW w:w="4320" w:type="dxa"/>
                </w:tcPr>
                <w:p w14:paraId="581B647C"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 xml:space="preserve">Prezantimi i seminarit</w:t>
                  </w:r>
                </w:p>
              </w:tc>
              <w:tc>
                <w:tcPr>
                  <w:tcW w:w="4320" w:type="dxa"/>
                </w:tcPr>
                <w:p w14:paraId="12A4610B"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 xml:space="preserve">Provimi përfundimtar</w:t>
                  </w:r>
                </w:p>
                <w:p w14:paraId="3F85AE71"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 xml:space="preserve">Gjithsej</w:t>
                  </w:r>
                </w:p>
              </w:tc>
              <w:tc>
                <w:tcPr>
                  <w:tcW w:w="4320" w:type="dxa"/>
                </w:tcPr>
                <w:p w14:paraId="0681F4DA"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40%</w:t>
                  </w:r>
                </w:p>
                <w:p w14:paraId="429B13D4" w14:textId="77777777" w:rsidR="00D67D7F" w:rsidRPr="00BB2207" w:rsidRDefault="009375BF">
                  <w:pPr>
                    <w:ind w:left="0" w:hanging="2"/>
                    <w:rPr>
                      <w:rFonts w:ascii="Times New Roman" w:hAnsi="Times New Roman" w:cs="Times New Roman"/>
                      <w:lang w:val="sq-AL"/>
                    </w:rPr>
                  </w:pPr>
                  <w:r>
                    <w:rPr>
                      <w:rFonts w:ascii="Times New Roman" w:hAnsi="Times New Roman" w:cs="Times New Roman"/>
                      <w:lang w:val="sq-AL"/>
                    </w:rPr>
                    <w:t>100%</w:t>
                  </w:r>
                </w:p>
              </w:tc>
            </w:tr>
          </w:tbl>
          <w:p w14:paraId="11D35AE3" w14:textId="77777777" w:rsidR="00D67D7F" w:rsidRPr="00BB2207" w:rsidRDefault="00D67D7F">
            <w:pPr>
              <w:ind w:left="0" w:hanging="2"/>
              <w:rPr>
                <w:rFonts w:ascii="Times New Roman" w:hAnsi="Times New Roman" w:cs="Times New Roman"/>
                <w:lang w:val="sq-AL"/>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sq-AL"/>
              </w:rPr>
            </w:pPr>
            <w:r>
              <w:rPr>
                <w:rFonts w:ascii="Times New Roman" w:eastAsia="Calibri" w:hAnsi="Times New Roman" w:cs="Times New Roman"/>
                <w:color w:val="000000"/>
                <w:sz w:val="24"/>
                <w:lang w:val="sq-AL"/>
              </w:rPr>
              <w:t xml:space="preserve"> (sipas Statutit dhe Rregullores për studime të UMIB-it)</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sq-AL"/>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Nota përfundimtare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r>
              <w:rPr>
                <w:rFonts w:ascii="Times New Roman" w:eastAsia="Times New Roman" w:hAnsi="Times New Roman" w:cs="Times New Roman"/>
                <w:color w:val="000000"/>
                <w:sz w:val="22"/>
                <w:szCs w:val="22"/>
                <w:lang w:val="sq-AL"/>
              </w:rPr>
              <w:t xml:space="preserve">Pikët (%)      Nota</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sq-AL"/>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r>
              <w:rPr>
                <w:rFonts w:ascii="Times New Roman" w:eastAsia="Times New Roman" w:hAnsi="Times New Roman" w:cs="Times New Roman"/>
                <w:color w:val="000000"/>
                <w:sz w:val="22"/>
                <w:szCs w:val="22"/>
                <w:lang w:val="sq-AL"/>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sq-AL"/>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r>
              <w:rPr>
                <w:rFonts w:ascii="Times New Roman" w:eastAsia="Times New Roman" w:hAnsi="Times New Roman" w:cs="Times New Roman"/>
                <w:color w:val="000000"/>
                <w:sz w:val="22"/>
                <w:szCs w:val="22"/>
                <w:lang w:val="sq-AL"/>
              </w:rPr>
              <w:t>81 - 90</w:t>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sq-AL"/>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r>
              <w:rPr>
                <w:rFonts w:ascii="Times New Roman" w:eastAsia="Times New Roman" w:hAnsi="Times New Roman" w:cs="Times New Roman"/>
                <w:color w:val="000000"/>
                <w:sz w:val="22"/>
                <w:szCs w:val="22"/>
                <w:lang w:val="sq-AL"/>
              </w:rPr>
              <w:t>71 - 80</w:t>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sq-AL"/>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r>
              <w:rPr>
                <w:rFonts w:ascii="Times New Roman" w:eastAsia="Times New Roman" w:hAnsi="Times New Roman" w:cs="Times New Roman"/>
                <w:color w:val="000000"/>
                <w:sz w:val="22"/>
                <w:szCs w:val="22"/>
                <w:lang w:val="sq-AL"/>
              </w:rPr>
              <w:t>61 - 70</w:t>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sq-AL"/>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sq-AL"/>
              </w:rPr>
            </w:pPr>
            <w:r>
              <w:rPr>
                <w:rFonts w:ascii="Times New Roman" w:eastAsia="Times New Roman" w:hAnsi="Times New Roman" w:cs="Times New Roman"/>
                <w:color w:val="000000"/>
                <w:sz w:val="22"/>
                <w:szCs w:val="22"/>
                <w:lang w:val="sq-AL"/>
              </w:rPr>
              <w:t>51 - 60</w:t>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sq-AL"/>
              </w:rPr>
            </w:pPr>
            <w:r>
              <w:rPr>
                <w:rFonts w:ascii="Times New Roman" w:eastAsia="Times New Roman" w:hAnsi="Times New Roman" w:cs="Times New Roman"/>
                <w:b/>
                <w:color w:val="000000"/>
                <w:sz w:val="24"/>
                <w:lang w:val="sq-AL"/>
              </w:rPr>
              <w:lastRenderedPageBreak/>
              <w:t xml:space="preserve">Politikat akademike</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sq-AL"/>
              </w:rPr>
            </w:pPr>
            <w:r>
              <w:rPr>
                <w:rFonts w:ascii="Times New Roman" w:eastAsia="Helvetica Neue" w:hAnsi="Times New Roman" w:cs="Times New Roman"/>
                <w:b/>
                <w:color w:val="000000"/>
                <w:sz w:val="24"/>
                <w:shd w:val="clear" w:color="auto" w:fill="F5F5F5"/>
                <w:lang w:val="sq-AL"/>
              </w:rPr>
              <w:t xml:space="preserve">K</w:t>
            </w:r>
            <w:r>
              <w:rPr>
                <w:rFonts w:ascii="Times New Roman" w:eastAsia="Times New Roman" w:hAnsi="Times New Roman" w:cs="Times New Roman"/>
                <w:b/>
                <w:sz w:val="24"/>
                <w:lang w:val="sq-AL"/>
              </w:rPr>
              <w:t xml:space="preserve">riteret për vijueshmëri të rregullt dhe rregullat e mirësjelljes gjatë organizimit të mësimit janë të përcaktuara.</w:t>
            </w:r>
          </w:p>
          <w:p w14:paraId="34CFF607" w14:textId="77777777"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Puna me kompjuter:</w:t>
            </w:r>
          </w:p>
          <w:p w14:paraId="291E3C71" w14:textId="7E36A0FB" w:rsidR="00D67D7F" w:rsidRPr="00BB2207" w:rsidRDefault="00287027">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Detyrat, projektet dhe ushtrimet laboratorike duhet të kryhen duke përdorur vegla softuerike të përshtatshme. Punimet e dorëzuara duhet t'i respektojnë kërkesat teknike dhe ato të përmbajtjes së lëndës.</w:t>
            </w:r>
          </w:p>
          <w:p w14:paraId="080182FC" w14:textId="77777777"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Etika në mësimdhënie:</w:t>
            </w:r>
          </w:p>
          <w:p w14:paraId="3D0ABF69" w14:textId="3D6E6C19" w:rsidR="00D67D7F" w:rsidRPr="00BB2207" w:rsidRDefault="00287027">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Të gjitha detyrat dhe projektet duhet të jenë punë personale e secilit student. Nuk do të ketë tolerancë për kopjim, "huazim" nga interneti apo nga çfarëdo materiali tjetër. Punimet e njëjta ose të ngjashme do të vlerësohen negativisht në vlerësimin përfundimtar të studentit.</w:t>
            </w:r>
          </w:p>
          <w:p w14:paraId="605DEC05" w14:textId="77777777"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Koha:</w:t>
            </w:r>
          </w:p>
          <w:p w14:paraId="0E346398" w14:textId="5AF21905"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sz w:val="24"/>
                <w:lang w:val="sq-AL"/>
              </w:rPr>
              <w:t xml:space="preserve">Afatet për dorëzimin e punimeve do të përcaktohen në marrëveshje me studentët. Nuk do të ketë tolerancë për vonesa në dorëzimin e punimeve. Mungesa në seancën kur shpjegohet një detyrë nuk e arsyeton dorëzimin me vonesë apo mosdorëzimin. Afati do të jepet paraprakisht. Nëse keni për të udhëtuar jashtë vendit, atëherë duhet t'i dorëzoni punimet paraprakisht. Studenti ka të drejtë të kërkojë konsultim me profesorin sa herë që e konsideron të arsyeshme dhe të nevojshme për kryerjen e punës së tij/saj.</w:t>
            </w:r>
          </w:p>
          <w:p w14:paraId="0ADD87A7" w14:textId="77777777" w:rsidR="00D67D7F" w:rsidRPr="00BB2207" w:rsidRDefault="009375BF">
            <w:pPr>
              <w:ind w:left="0" w:hanging="2"/>
              <w:jc w:val="both"/>
              <w:rPr>
                <w:rFonts w:ascii="Times New Roman" w:eastAsia="Times New Roman" w:hAnsi="Times New Roman" w:cs="Times New Roman"/>
                <w:sz w:val="24"/>
                <w:lang w:val="sq-AL"/>
              </w:rPr>
            </w:pPr>
            <w:r>
              <w:rPr>
                <w:rFonts w:ascii="Times New Roman" w:eastAsia="Times New Roman" w:hAnsi="Times New Roman" w:cs="Times New Roman"/>
                <w:b/>
                <w:sz w:val="24"/>
                <w:lang w:val="sq-AL"/>
              </w:rPr>
              <w:t xml:space="preserve">Rregullat e sjelljes dhe politikat akademike:</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pjesëmarrja aktive e studentëve në ligjërata; pjesëmarrja në diskutime, komente dhe shprehja e lirë e mendimit, opinionit dhe qëndrimit akademik (me argumente)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puna e pavarur e obligueshme dhe përdorimi i burimeve shtesë të informacionit (ueb-faqe të ndryshme shkencore, revista shkencore, punime nga konferencat etj.)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respektimi i orarit të ligjëratave pa e cenuar lirinë akademike (telefonat celularë në heshtje); respektimi i fjalës, mendimeve dhe ideve të kolegëve,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sq-AL"/>
              </w:rPr>
            </w:pPr>
            <w:r>
              <w:rPr>
                <w:rFonts w:ascii="Times New Roman" w:eastAsia="Times New Roman" w:hAnsi="Times New Roman" w:cs="Times New Roman"/>
                <w:color w:val="000000"/>
                <w:sz w:val="24"/>
                <w:lang w:val="sq-AL"/>
              </w:rPr>
              <w:t xml:space="preserve">nuk lejohet ardhja me vonesë dhe largimi pa arsye të vlefshme nga ligjërata, testi apo provimi; përgatitja dhe mbajtja e ligjëratave përkatëse (obligim i mësimdhënësit).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sq-AL"/>
              </w:rPr>
            </w:pPr>
            <w:r>
              <w:rPr>
                <w:rFonts w:ascii="Times New Roman" w:eastAsia="Times New Roman" w:hAnsi="Times New Roman" w:cs="Times New Roman"/>
                <w:color w:val="000000"/>
                <w:sz w:val="24"/>
                <w:lang w:val="sq-AL"/>
              </w:rPr>
              <w:t xml:space="preserve">nëse studenti mungon më shumë se katër herë pa arsye në ligjërata dhe ushtrime, nuk e merr nënshkrimin për vijueshmëri; studenti nuk mund t'i nënshtrohet provimit pa dokument zyrtar,</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Pr>
                <w:rFonts w:ascii="Times New Roman" w:eastAsia="Times New Roman" w:hAnsi="Times New Roman" w:cs="Times New Roman"/>
                <w:color w:val="000000"/>
                <w:sz w:val="24"/>
                <w:lang w:val="sq-AL"/>
              </w:rPr>
              <w:t xml:space="preserve">nëse studenti nuk është i kënaqur me notën e marrë, ka të drejtë të ankohet me shkrim te dekani, brenda dy ditëve të punës pas shpalljes së rezultateve, sipas Statutit të UMIB-it; nëse studenti nuk i respekton rregullat dhe në provim përdor mjete të palejuara, vlerësohet me notë negative.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Pr>
                <w:rFonts w:ascii="Times New Roman" w:eastAsia="Times New Roman" w:hAnsi="Times New Roman" w:cs="Times New Roman"/>
                <w:color w:val="000000"/>
                <w:sz w:val="24"/>
                <w:lang w:val="sq-AL"/>
              </w:rPr>
              <w:t xml:space="preserve">Plagjiatura ose kopjimi do të ndëshkohen sipas rregulloreve të universitetit.</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Pr>
          <w:rFonts w:ascii="Times New Roman" w:eastAsia="Times New Roman" w:hAnsi="Times New Roman" w:cs="Times New Roman"/>
          <w:sz w:val="24"/>
        </w:rPr>
        <w:t xml:space="preserve">Mitrovicë; 29.08.2025 </w:t>
        <w:tab/>
        <w:tab/>
        <w:tab/>
        <w:tab/>
        <w:tab/>
        <w:tab/>
        <w:t xml:space="preserve">Prof. Ass. Dr. 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40C9A"/>
    <w:rsid w:val="00057FAF"/>
    <w:rsid w:val="000611E8"/>
    <w:rsid w:val="00096F2C"/>
    <w:rsid w:val="000E3758"/>
    <w:rsid w:val="001C518C"/>
    <w:rsid w:val="0022423F"/>
    <w:rsid w:val="00245379"/>
    <w:rsid w:val="00250EF5"/>
    <w:rsid w:val="00251840"/>
    <w:rsid w:val="00287027"/>
    <w:rsid w:val="00345F94"/>
    <w:rsid w:val="003E4368"/>
    <w:rsid w:val="0041698D"/>
    <w:rsid w:val="00520944"/>
    <w:rsid w:val="006F3498"/>
    <w:rsid w:val="007A684A"/>
    <w:rsid w:val="007E030A"/>
    <w:rsid w:val="007E5A68"/>
    <w:rsid w:val="0083548A"/>
    <w:rsid w:val="008550EE"/>
    <w:rsid w:val="00867BA1"/>
    <w:rsid w:val="009375BF"/>
    <w:rsid w:val="00983B32"/>
    <w:rsid w:val="009D0797"/>
    <w:rsid w:val="00A37C64"/>
    <w:rsid w:val="00A55D7D"/>
    <w:rsid w:val="00A7396B"/>
    <w:rsid w:val="00A8567A"/>
    <w:rsid w:val="00AC2EFE"/>
    <w:rsid w:val="00B92B3E"/>
    <w:rsid w:val="00BB2207"/>
    <w:rsid w:val="00C2590A"/>
    <w:rsid w:val="00C30897"/>
    <w:rsid w:val="00C336E9"/>
    <w:rsid w:val="00C41C75"/>
    <w:rsid w:val="00C4365F"/>
    <w:rsid w:val="00CC0DDF"/>
    <w:rsid w:val="00CD5E16"/>
    <w:rsid w:val="00D071AE"/>
    <w:rsid w:val="00D67D7F"/>
    <w:rsid w:val="00DC1003"/>
    <w:rsid w:val="00DF19F0"/>
    <w:rsid w:val="00E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artrr</cp:lastModifiedBy>
  <cp:revision>10</cp:revision>
  <dcterms:created xsi:type="dcterms:W3CDTF">2025-08-28T18:52:00Z</dcterms:created>
  <dcterms:modified xsi:type="dcterms:W3CDTF">2025-09-01T07:35:00Z</dcterms:modified>
</cp:coreProperties>
</file>